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375" w:rsidRPr="0020404E" w:rsidRDefault="00000000" w:rsidP="0020404E">
      <w:pPr>
        <w:jc w:val="center"/>
        <w:rPr>
          <w:b/>
          <w:sz w:val="40"/>
        </w:rPr>
      </w:pPr>
      <w:r>
        <w:rPr>
          <w:b/>
          <w:sz w:val="40"/>
        </w:rPr>
        <w:t xml:space="preserve">Association for Theatre Movement Educators </w:t>
      </w:r>
      <w:r w:rsidR="0020404E">
        <w:rPr>
          <w:b/>
          <w:sz w:val="40"/>
        </w:rPr>
        <w:br/>
      </w:r>
      <w:r>
        <w:rPr>
          <w:b/>
          <w:sz w:val="40"/>
        </w:rPr>
        <w:t>2026 CFP</w:t>
      </w:r>
    </w:p>
    <w:p w:rsidR="00141375" w:rsidRPr="00353AA0" w:rsidRDefault="00000000" w:rsidP="0020404E">
      <w:pPr>
        <w:jc w:val="center"/>
        <w:rPr>
          <w:i/>
          <w:sz w:val="24"/>
          <w:szCs w:val="24"/>
        </w:rPr>
      </w:pPr>
      <w:r w:rsidRPr="00353AA0">
        <w:rPr>
          <w:b/>
          <w:sz w:val="24"/>
          <w:szCs w:val="24"/>
        </w:rPr>
        <w:t>Association for Theatre in Higher Education (ATHE) Conference</w:t>
      </w:r>
      <w:r w:rsidR="0020404E" w:rsidRPr="00353AA0">
        <w:rPr>
          <w:sz w:val="24"/>
          <w:szCs w:val="24"/>
        </w:rPr>
        <w:br/>
      </w:r>
      <w:r w:rsidRPr="00353AA0">
        <w:rPr>
          <w:sz w:val="24"/>
          <w:szCs w:val="24"/>
        </w:rPr>
        <w:t>July 22–26, 2026 | Baltimore, Maryland</w:t>
      </w:r>
      <w:r w:rsidR="0020404E" w:rsidRPr="00353AA0">
        <w:rPr>
          <w:sz w:val="24"/>
          <w:szCs w:val="24"/>
        </w:rPr>
        <w:br/>
      </w:r>
      <w:r w:rsidRPr="00353AA0">
        <w:rPr>
          <w:i/>
          <w:sz w:val="24"/>
          <w:szCs w:val="24"/>
        </w:rPr>
        <w:t>Theme: “Activating Imagination in/and Community”</w:t>
      </w:r>
    </w:p>
    <w:p w:rsidR="0020404E" w:rsidRDefault="00C97486" w:rsidP="0020404E">
      <w:pPr>
        <w:jc w:val="center"/>
      </w:pPr>
      <w:r>
        <w:rPr>
          <w:rFonts w:ascii="Times New Roman" w:eastAsia="Times New Roman" w:hAnsi="Times New Roman" w:cs="Times New Roman"/>
          <w:noProof/>
        </w:rPr>
        <w:pict w14:anchorId="48394FCC">
          <v:rect id="_x0000_i1029" alt="" style="width:468pt;height:.05pt;mso-width-percent:0;mso-height-percent:0;mso-width-percent:0;mso-height-percent:0" o:hralign="center" o:hrstd="t" o:hr="t" fillcolor="#a0a0a0" stroked="f"/>
        </w:pict>
      </w:r>
    </w:p>
    <w:p w:rsidR="00141375" w:rsidRPr="0020404E" w:rsidRDefault="00000000">
      <w:pPr>
        <w:rPr>
          <w:sz w:val="24"/>
          <w:szCs w:val="24"/>
        </w:rPr>
      </w:pPr>
      <w:r w:rsidRPr="0020404E">
        <w:rPr>
          <w:sz w:val="24"/>
          <w:szCs w:val="24"/>
        </w:rPr>
        <w:t>This year’s ATHE conference invites us to consider how theatre and performance can reimagine collaboration, care, and connection, especially in times of uncertainty and change. The theme challenges us to think about how and with whom we work, and how our practices might build communities grounded in dignity, interdependence, and shared purpose.</w:t>
      </w:r>
    </w:p>
    <w:p w:rsidR="00141375" w:rsidRPr="0020404E" w:rsidRDefault="00000000">
      <w:pPr>
        <w:rPr>
          <w:sz w:val="24"/>
          <w:szCs w:val="24"/>
        </w:rPr>
      </w:pPr>
      <w:r w:rsidRPr="0020404E">
        <w:rPr>
          <w:sz w:val="24"/>
          <w:szCs w:val="24"/>
        </w:rPr>
        <w:t xml:space="preserve">For ATME, this theme resonates deeply. As </w:t>
      </w:r>
      <w:r w:rsidR="0020404E" w:rsidRPr="0020404E">
        <w:rPr>
          <w:sz w:val="24"/>
          <w:szCs w:val="24"/>
        </w:rPr>
        <w:t>physical theater</w:t>
      </w:r>
      <w:r w:rsidRPr="0020404E">
        <w:rPr>
          <w:sz w:val="24"/>
          <w:szCs w:val="24"/>
        </w:rPr>
        <w:t xml:space="preserve"> educators, artists, and scholars, we engage the body as a site of imagination, empathy, and transformation. The 2026 conference asks us to activate our embodied wisdom within community… across disciplines, across difference, and across distance.</w:t>
      </w:r>
    </w:p>
    <w:p w:rsidR="00141375" w:rsidRPr="00353AA0" w:rsidRDefault="00C97486">
      <w:pPr>
        <w:rPr>
          <w:sz w:val="24"/>
          <w:szCs w:val="24"/>
        </w:rPr>
      </w:pPr>
      <w:r w:rsidRPr="00C97486">
        <w:rPr>
          <w:rFonts w:ascii="Times New Roman" w:eastAsia="Times New Roman" w:hAnsi="Times New Roman" w:cs="Times New Roman"/>
          <w:noProof/>
          <w:sz w:val="24"/>
          <w:szCs w:val="24"/>
        </w:rPr>
        <w:pict w14:anchorId="07FAB2E9">
          <v:rect id="_x0000_i1028" alt="" style="width:468pt;height:.05pt;mso-width-percent:0;mso-height-percent:0;mso-width-percent:0;mso-height-percent:0" o:hralign="center" o:hrstd="t" o:hr="t" fillcolor="#a0a0a0" stroked="f"/>
        </w:pict>
      </w:r>
      <w:r w:rsidR="006D1553">
        <w:rPr>
          <w:b/>
          <w:sz w:val="32"/>
          <w:szCs w:val="32"/>
        </w:rPr>
        <w:t>Invitation</w:t>
      </w:r>
      <w:r w:rsidR="00C15CF6" w:rsidRPr="0020404E">
        <w:rPr>
          <w:b/>
          <w:sz w:val="32"/>
          <w:szCs w:val="32"/>
        </w:rPr>
        <w:t xml:space="preserve"> for Proposals</w:t>
      </w:r>
    </w:p>
    <w:p w:rsidR="00141375" w:rsidRPr="0020404E" w:rsidRDefault="00000000">
      <w:pPr>
        <w:rPr>
          <w:sz w:val="24"/>
          <w:szCs w:val="24"/>
        </w:rPr>
      </w:pPr>
      <w:r w:rsidRPr="0020404E">
        <w:rPr>
          <w:sz w:val="24"/>
          <w:szCs w:val="24"/>
        </w:rPr>
        <w:t>ATME invites proposals for panels, workshops, performances, and roundtables that explore movement training, physical storytelling, and embodied pedagogy as catalysts for connection and collaboration. We welcome work that examines how imagination in motion can shape new models of communication, learning, healing, and organizing in our classrooms, rehearsal halls, and communities.</w:t>
      </w:r>
    </w:p>
    <w:p w:rsidR="00141375" w:rsidRPr="0020404E" w:rsidRDefault="00000000">
      <w:pPr>
        <w:rPr>
          <w:sz w:val="24"/>
          <w:szCs w:val="24"/>
        </w:rPr>
      </w:pPr>
      <w:r w:rsidRPr="0020404E">
        <w:rPr>
          <w:sz w:val="24"/>
          <w:szCs w:val="24"/>
        </w:rPr>
        <w:t>Possible topics might include:</w:t>
      </w:r>
    </w:p>
    <w:p w:rsidR="00141375" w:rsidRPr="0020404E" w:rsidRDefault="00000000">
      <w:pPr>
        <w:pStyle w:val="ListBullet"/>
        <w:rPr>
          <w:sz w:val="24"/>
          <w:szCs w:val="24"/>
        </w:rPr>
      </w:pPr>
      <w:r w:rsidRPr="0020404E">
        <w:rPr>
          <w:sz w:val="24"/>
          <w:szCs w:val="24"/>
        </w:rPr>
        <w:t>Collaborative practices that center the body as a site of shared knowledge and care</w:t>
      </w:r>
    </w:p>
    <w:p w:rsidR="00141375" w:rsidRPr="0020404E" w:rsidRDefault="00000000">
      <w:pPr>
        <w:pStyle w:val="ListBullet"/>
        <w:rPr>
          <w:sz w:val="24"/>
          <w:szCs w:val="24"/>
        </w:rPr>
      </w:pPr>
      <w:r w:rsidRPr="0020404E">
        <w:rPr>
          <w:sz w:val="24"/>
          <w:szCs w:val="24"/>
        </w:rPr>
        <w:t>Somatic and movement-based approaches to community building and social engagement</w:t>
      </w:r>
    </w:p>
    <w:p w:rsidR="00141375" w:rsidRPr="0020404E" w:rsidRDefault="00000000">
      <w:pPr>
        <w:pStyle w:val="ListBullet"/>
        <w:rPr>
          <w:sz w:val="24"/>
          <w:szCs w:val="24"/>
        </w:rPr>
      </w:pPr>
      <w:r w:rsidRPr="0020404E">
        <w:rPr>
          <w:sz w:val="24"/>
          <w:szCs w:val="24"/>
        </w:rPr>
        <w:t>Interdisciplinary performance and pedagogy that bridge theory and practice</w:t>
      </w:r>
    </w:p>
    <w:p w:rsidR="00141375" w:rsidRPr="0020404E" w:rsidRDefault="00000000">
      <w:pPr>
        <w:pStyle w:val="ListBullet"/>
        <w:rPr>
          <w:sz w:val="24"/>
          <w:szCs w:val="24"/>
        </w:rPr>
      </w:pPr>
      <w:r w:rsidRPr="0020404E">
        <w:rPr>
          <w:sz w:val="24"/>
          <w:szCs w:val="24"/>
        </w:rPr>
        <w:t>Training and teaching methods that honor multiple intelligences, bodies, and identities</w:t>
      </w:r>
    </w:p>
    <w:p w:rsidR="00141375" w:rsidRPr="0020404E" w:rsidRDefault="00000000">
      <w:pPr>
        <w:pStyle w:val="ListBullet"/>
        <w:rPr>
          <w:sz w:val="24"/>
          <w:szCs w:val="24"/>
        </w:rPr>
      </w:pPr>
      <w:r w:rsidRPr="0020404E">
        <w:rPr>
          <w:sz w:val="24"/>
          <w:szCs w:val="24"/>
        </w:rPr>
        <w:t>Embodied leadership and collective authorship in creative process</w:t>
      </w:r>
    </w:p>
    <w:p w:rsidR="00141375" w:rsidRPr="0020404E" w:rsidRDefault="00000000">
      <w:pPr>
        <w:pStyle w:val="ListBullet"/>
        <w:rPr>
          <w:sz w:val="24"/>
          <w:szCs w:val="24"/>
        </w:rPr>
      </w:pPr>
      <w:r w:rsidRPr="0020404E">
        <w:rPr>
          <w:sz w:val="24"/>
          <w:szCs w:val="24"/>
        </w:rPr>
        <w:t>The politics of care, consent, and vulnerability in movement education</w:t>
      </w:r>
    </w:p>
    <w:p w:rsidR="00141375" w:rsidRPr="0020404E" w:rsidRDefault="00000000">
      <w:pPr>
        <w:pStyle w:val="ListBullet"/>
        <w:rPr>
          <w:sz w:val="24"/>
          <w:szCs w:val="24"/>
        </w:rPr>
      </w:pPr>
      <w:r w:rsidRPr="0020404E">
        <w:rPr>
          <w:sz w:val="24"/>
          <w:szCs w:val="24"/>
        </w:rPr>
        <w:t>Case studies of movement-centered collaboration across disciplines, cultures, or geographies</w:t>
      </w:r>
    </w:p>
    <w:p w:rsidR="00141375" w:rsidRPr="0020404E" w:rsidRDefault="00000000">
      <w:pPr>
        <w:rPr>
          <w:sz w:val="24"/>
          <w:szCs w:val="24"/>
        </w:rPr>
      </w:pPr>
      <w:r w:rsidRPr="0020404E">
        <w:rPr>
          <w:sz w:val="24"/>
          <w:szCs w:val="24"/>
        </w:rPr>
        <w:t>We also welcome proposals that may not directly address the conference theme but reflect ATME’s core commitment to advancing the practice, study, and teaching of movement for the actor and theatre artist.</w:t>
      </w:r>
    </w:p>
    <w:p w:rsidR="00141375" w:rsidRPr="00353AA0" w:rsidRDefault="00C97486">
      <w:pPr>
        <w:rPr>
          <w:b/>
          <w:sz w:val="24"/>
          <w:szCs w:val="24"/>
        </w:rPr>
      </w:pPr>
      <w:r w:rsidRPr="00C97486">
        <w:rPr>
          <w:rFonts w:ascii="Times New Roman" w:eastAsia="Times New Roman" w:hAnsi="Times New Roman" w:cs="Times New Roman"/>
          <w:noProof/>
          <w:sz w:val="24"/>
          <w:szCs w:val="24"/>
        </w:rPr>
        <w:lastRenderedPageBreak/>
        <w:pict w14:anchorId="015E7FB2">
          <v:rect id="_x0000_i1027" alt="" style="width:468pt;height:.05pt;mso-width-percent:0;mso-height-percent:0;mso-width-percent:0;mso-height-percent:0" o:hralign="center" o:hrstd="t" o:hr="t" fillcolor="#a0a0a0" stroked="f"/>
        </w:pict>
      </w:r>
      <w:r w:rsidR="006D1553">
        <w:rPr>
          <w:b/>
          <w:sz w:val="32"/>
          <w:szCs w:val="32"/>
        </w:rPr>
        <w:t>Submission</w:t>
      </w:r>
      <w:r w:rsidR="00C15CF6" w:rsidRPr="0020404E">
        <w:rPr>
          <w:b/>
          <w:sz w:val="32"/>
          <w:szCs w:val="32"/>
        </w:rPr>
        <w:t xml:space="preserve"> Deadlines (per ATHE)</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November 3, 2025</w:t>
      </w:r>
      <w:r w:rsidRPr="005D249B">
        <w:rPr>
          <w:rFonts w:ascii="Calibri" w:hAnsi="Calibri" w:cs="Calibri"/>
          <w:color w:val="000000"/>
        </w:rPr>
        <w:t xml:space="preserve"> — Web portal opens for 2026 Conference submissions.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December 12, 2025</w:t>
      </w:r>
      <w:r w:rsidRPr="005D249B">
        <w:rPr>
          <w:rFonts w:ascii="Calibri" w:hAnsi="Calibri" w:cs="Calibri"/>
          <w:color w:val="000000"/>
        </w:rPr>
        <w:t xml:space="preserve"> (11:59 p.m. Eastern) — First Round submissions due (fully formed sessions).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Week of February 23, 2026</w:t>
      </w:r>
      <w:r w:rsidRPr="005D249B">
        <w:rPr>
          <w:rFonts w:ascii="Calibri" w:hAnsi="Calibri" w:cs="Calibri"/>
          <w:color w:val="000000"/>
        </w:rPr>
        <w:t xml:space="preserve"> — Review of First Round submissions completed; acceptance/decline letters sent to coordinators.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March 9–27, 2026</w:t>
      </w:r>
      <w:r w:rsidRPr="005D249B">
        <w:rPr>
          <w:rFonts w:ascii="Calibri" w:hAnsi="Calibri" w:cs="Calibri"/>
          <w:color w:val="000000"/>
        </w:rPr>
        <w:t xml:space="preserve"> — Second Round of submissions open (individuals apply to join already accepted sessions that opted in). Not for proposing new sessions.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March 27, 2026</w:t>
      </w:r>
      <w:r w:rsidRPr="005D249B">
        <w:rPr>
          <w:rFonts w:ascii="Calibri" w:hAnsi="Calibri" w:cs="Calibri"/>
          <w:color w:val="000000"/>
        </w:rPr>
        <w:t xml:space="preserve"> — Second Round submissions due. Pre-conference proposals due.</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April 20, 2026</w:t>
      </w:r>
      <w:r w:rsidRPr="005D249B">
        <w:rPr>
          <w:rFonts w:ascii="Calibri" w:hAnsi="Calibri" w:cs="Calibri"/>
          <w:color w:val="000000"/>
        </w:rPr>
        <w:t xml:space="preserve"> — Review of Second Round submissions completed; acceptance/decline letters sent to individuals.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May 4, 2026</w:t>
      </w:r>
      <w:r w:rsidRPr="005D249B">
        <w:rPr>
          <w:rFonts w:ascii="Calibri" w:hAnsi="Calibri" w:cs="Calibri"/>
          <w:color w:val="000000"/>
        </w:rPr>
        <w:t xml:space="preserve"> — Conference agenda published; registration opens.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June 26, 2026</w:t>
      </w:r>
      <w:r w:rsidRPr="005D249B">
        <w:rPr>
          <w:rFonts w:ascii="Calibri" w:hAnsi="Calibri" w:cs="Calibri"/>
          <w:color w:val="000000"/>
        </w:rPr>
        <w:t xml:space="preserve"> — Last day to make hotel reservations at the published conference rate (or until room block sells out).</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June 29, 2026</w:t>
      </w:r>
      <w:r w:rsidRPr="005D249B">
        <w:rPr>
          <w:rFonts w:ascii="Calibri" w:hAnsi="Calibri" w:cs="Calibri"/>
          <w:color w:val="000000"/>
        </w:rPr>
        <w:t xml:space="preserve"> — Conference registration deadline for presenters (to be listed online and in the digital program).</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Week of July 13, 2026</w:t>
      </w:r>
      <w:r w:rsidRPr="005D249B">
        <w:rPr>
          <w:rFonts w:ascii="Calibri" w:hAnsi="Calibri" w:cs="Calibri"/>
          <w:color w:val="000000"/>
        </w:rPr>
        <w:t xml:space="preserve"> — Virtual Focus Group meetings.</w:t>
      </w:r>
    </w:p>
    <w:p w:rsidR="005D249B" w:rsidRPr="005D249B" w:rsidRDefault="005D249B" w:rsidP="005D249B">
      <w:pPr>
        <w:pStyle w:val="ml-4"/>
        <w:numPr>
          <w:ilvl w:val="0"/>
          <w:numId w:val="10"/>
        </w:numPr>
        <w:rPr>
          <w:rFonts w:ascii="Calibri" w:hAnsi="Calibri" w:cs="Calibri"/>
          <w:color w:val="000000"/>
        </w:rPr>
      </w:pPr>
      <w:r w:rsidRPr="005D249B">
        <w:rPr>
          <w:rFonts w:ascii="Calibri" w:hAnsi="Calibri" w:cs="Calibri"/>
          <w:b/>
          <w:bCs/>
          <w:color w:val="000000"/>
        </w:rPr>
        <w:t>July 22–26, 2026</w:t>
      </w:r>
      <w:r w:rsidRPr="005D249B">
        <w:rPr>
          <w:rFonts w:ascii="Calibri" w:hAnsi="Calibri" w:cs="Calibri"/>
          <w:color w:val="000000"/>
        </w:rPr>
        <w:t xml:space="preserve"> — Conference in Baltimore, MD.</w:t>
      </w:r>
    </w:p>
    <w:p w:rsidR="00141375" w:rsidRPr="00353AA0" w:rsidRDefault="00C97486">
      <w:pPr>
        <w:rPr>
          <w:b/>
          <w:sz w:val="24"/>
          <w:szCs w:val="24"/>
        </w:rPr>
      </w:pPr>
      <w:r w:rsidRPr="00C97486">
        <w:rPr>
          <w:rFonts w:ascii="Times New Roman" w:eastAsia="Times New Roman" w:hAnsi="Times New Roman" w:cs="Times New Roman"/>
          <w:noProof/>
          <w:sz w:val="24"/>
          <w:szCs w:val="24"/>
        </w:rPr>
        <w:pict w14:anchorId="27259284">
          <v:rect id="_x0000_i1026" alt="" style="width:468pt;height:.05pt;mso-width-percent:0;mso-height-percent:0;mso-width-percent:0;mso-height-percent:0" o:hralign="center" o:hrstd="t" o:hr="t" fillcolor="#a0a0a0" stroked="f"/>
        </w:pict>
      </w:r>
      <w:r w:rsidR="00C15CF6" w:rsidRPr="0020404E">
        <w:rPr>
          <w:b/>
          <w:sz w:val="32"/>
          <w:szCs w:val="32"/>
        </w:rPr>
        <w:t>For details on the process and to submit</w:t>
      </w:r>
    </w:p>
    <w:p w:rsidR="00141375" w:rsidRPr="0020404E" w:rsidRDefault="00000000">
      <w:pPr>
        <w:rPr>
          <w:sz w:val="24"/>
          <w:szCs w:val="24"/>
        </w:rPr>
      </w:pPr>
      <w:r w:rsidRPr="0020404E">
        <w:rPr>
          <w:sz w:val="24"/>
          <w:szCs w:val="24"/>
        </w:rPr>
        <w:t>Important Deadlines</w:t>
      </w:r>
      <w:r w:rsidR="0020404E" w:rsidRPr="0020404E">
        <w:rPr>
          <w:sz w:val="24"/>
          <w:szCs w:val="24"/>
        </w:rPr>
        <w:t xml:space="preserve">: </w:t>
      </w:r>
      <w:hyperlink r:id="rId6" w:history="1">
        <w:r w:rsidR="00141375" w:rsidRPr="0020404E">
          <w:rPr>
            <w:rStyle w:val="Hyperlink"/>
            <w:sz w:val="24"/>
            <w:szCs w:val="24"/>
          </w:rPr>
          <w:t>athe.org/page/</w:t>
        </w:r>
        <w:proofErr w:type="spellStart"/>
        <w:r w:rsidR="00141375" w:rsidRPr="0020404E">
          <w:rPr>
            <w:rStyle w:val="Hyperlink"/>
            <w:sz w:val="24"/>
            <w:szCs w:val="24"/>
          </w:rPr>
          <w:t>conf_deadline</w:t>
        </w:r>
        <w:proofErr w:type="spellEnd"/>
      </w:hyperlink>
    </w:p>
    <w:p w:rsidR="00141375" w:rsidRPr="0020404E" w:rsidRDefault="00000000">
      <w:pPr>
        <w:rPr>
          <w:sz w:val="24"/>
          <w:szCs w:val="24"/>
        </w:rPr>
      </w:pPr>
      <w:r w:rsidRPr="0020404E">
        <w:rPr>
          <w:sz w:val="24"/>
          <w:szCs w:val="24"/>
        </w:rPr>
        <w:t xml:space="preserve">Conference Proposal FAQ: </w:t>
      </w:r>
      <w:hyperlink r:id="rId7" w:history="1">
        <w:r w:rsidR="00141375" w:rsidRPr="0020404E">
          <w:rPr>
            <w:rStyle w:val="Hyperlink"/>
            <w:sz w:val="24"/>
            <w:szCs w:val="24"/>
          </w:rPr>
          <w:t>athe.org/page/</w:t>
        </w:r>
        <w:proofErr w:type="spellStart"/>
        <w:r w:rsidR="00141375" w:rsidRPr="0020404E">
          <w:rPr>
            <w:rStyle w:val="Hyperlink"/>
            <w:sz w:val="24"/>
            <w:szCs w:val="24"/>
          </w:rPr>
          <w:t>conf_proposal_FAQ</w:t>
        </w:r>
        <w:proofErr w:type="spellEnd"/>
      </w:hyperlink>
    </w:p>
    <w:p w:rsidR="00141375" w:rsidRPr="00353AA0" w:rsidRDefault="00C97486">
      <w:pPr>
        <w:rPr>
          <w:b/>
          <w:sz w:val="24"/>
          <w:szCs w:val="24"/>
        </w:rPr>
      </w:pPr>
      <w:r w:rsidRPr="00C97486">
        <w:rPr>
          <w:rFonts w:ascii="Times New Roman" w:eastAsia="Times New Roman" w:hAnsi="Times New Roman" w:cs="Times New Roman"/>
          <w:noProof/>
          <w:sz w:val="24"/>
          <w:szCs w:val="24"/>
        </w:rPr>
        <w:pict w14:anchorId="698BFD13">
          <v:rect id="_x0000_i1025" alt="" style="width:468pt;height:.05pt;mso-width-percent:0;mso-height-percent:0;mso-width-percent:0;mso-height-percent:0" o:hralign="center" o:hrstd="t" o:hr="t" fillcolor="#a0a0a0" stroked="f"/>
        </w:pict>
      </w:r>
      <w:r w:rsidR="006D1553">
        <w:rPr>
          <w:b/>
          <w:sz w:val="32"/>
          <w:szCs w:val="32"/>
        </w:rPr>
        <w:t>Questions</w:t>
      </w:r>
      <w:r w:rsidR="00C15CF6" w:rsidRPr="0020404E">
        <w:rPr>
          <w:b/>
          <w:sz w:val="32"/>
          <w:szCs w:val="32"/>
        </w:rPr>
        <w:t xml:space="preserve"> or Collaboration Ideas?</w:t>
      </w:r>
    </w:p>
    <w:p w:rsidR="00141375" w:rsidRPr="0020404E" w:rsidRDefault="00000000">
      <w:pPr>
        <w:rPr>
          <w:sz w:val="24"/>
          <w:szCs w:val="24"/>
        </w:rPr>
      </w:pPr>
      <w:r w:rsidRPr="0020404E">
        <w:rPr>
          <w:sz w:val="24"/>
          <w:szCs w:val="24"/>
        </w:rPr>
        <w:t>To connect with potential collaborators or discuss a proposal idea, reach out via the ATME listserv or contact:</w:t>
      </w:r>
    </w:p>
    <w:p w:rsidR="00141375" w:rsidRPr="0020404E" w:rsidRDefault="00000000">
      <w:pPr>
        <w:pStyle w:val="ListBullet"/>
        <w:rPr>
          <w:sz w:val="24"/>
          <w:szCs w:val="24"/>
        </w:rPr>
      </w:pPr>
      <w:r w:rsidRPr="0020404E">
        <w:rPr>
          <w:sz w:val="24"/>
          <w:szCs w:val="24"/>
        </w:rPr>
        <w:t>Jonathan Beller, ATME Conference Planner: jonathan.beller@metrostate.edu</w:t>
      </w:r>
    </w:p>
    <w:p w:rsidR="00141375" w:rsidRPr="0020404E" w:rsidRDefault="00000000">
      <w:pPr>
        <w:pStyle w:val="ListBullet"/>
        <w:rPr>
          <w:sz w:val="24"/>
          <w:szCs w:val="24"/>
        </w:rPr>
      </w:pPr>
      <w:r w:rsidRPr="0020404E">
        <w:rPr>
          <w:sz w:val="24"/>
          <w:szCs w:val="24"/>
        </w:rPr>
        <w:t>Rachel Bowditch, ATME President: rachel.bowditch@asu.edu</w:t>
      </w:r>
    </w:p>
    <w:p w:rsidR="00141375" w:rsidRPr="0020404E" w:rsidRDefault="00EC222F">
      <w:pPr>
        <w:rPr>
          <w:sz w:val="24"/>
          <w:szCs w:val="24"/>
        </w:rPr>
      </w:pPr>
      <w:r w:rsidRPr="0020404E">
        <w:rPr>
          <w:sz w:val="24"/>
          <w:szCs w:val="24"/>
        </w:rPr>
        <w:t>We look forward to engaging, sharing, and moving together in Baltimore next summer</w:t>
      </w:r>
      <w:r w:rsidR="00353AA0">
        <w:rPr>
          <w:sz w:val="24"/>
          <w:szCs w:val="24"/>
        </w:rPr>
        <w:t>!</w:t>
      </w:r>
    </w:p>
    <w:sectPr w:rsidR="00141375" w:rsidRPr="0020404E" w:rsidSect="0020404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E85846"/>
    <w:multiLevelType w:val="multilevel"/>
    <w:tmpl w:val="68D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957794">
    <w:abstractNumId w:val="8"/>
  </w:num>
  <w:num w:numId="2" w16cid:durableId="575360514">
    <w:abstractNumId w:val="6"/>
  </w:num>
  <w:num w:numId="3" w16cid:durableId="262684847">
    <w:abstractNumId w:val="5"/>
  </w:num>
  <w:num w:numId="4" w16cid:durableId="1952392215">
    <w:abstractNumId w:val="4"/>
  </w:num>
  <w:num w:numId="5" w16cid:durableId="1440639811">
    <w:abstractNumId w:val="7"/>
  </w:num>
  <w:num w:numId="6" w16cid:durableId="1406804864">
    <w:abstractNumId w:val="3"/>
  </w:num>
  <w:num w:numId="7" w16cid:durableId="728649441">
    <w:abstractNumId w:val="2"/>
  </w:num>
  <w:num w:numId="8" w16cid:durableId="1730423367">
    <w:abstractNumId w:val="1"/>
  </w:num>
  <w:num w:numId="9" w16cid:durableId="637565673">
    <w:abstractNumId w:val="0"/>
  </w:num>
  <w:num w:numId="10" w16cid:durableId="779689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375"/>
    <w:rsid w:val="0015074B"/>
    <w:rsid w:val="0020404E"/>
    <w:rsid w:val="0029639D"/>
    <w:rsid w:val="00326F90"/>
    <w:rsid w:val="00353AA0"/>
    <w:rsid w:val="00432C79"/>
    <w:rsid w:val="005D249B"/>
    <w:rsid w:val="006D1553"/>
    <w:rsid w:val="007F30A9"/>
    <w:rsid w:val="00AA1D8D"/>
    <w:rsid w:val="00B47730"/>
    <w:rsid w:val="00C15CF6"/>
    <w:rsid w:val="00C97486"/>
    <w:rsid w:val="00CB0664"/>
    <w:rsid w:val="00EC22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42AF9"/>
  <w14:defaultImageDpi w14:val="300"/>
  <w15:docId w15:val="{3DDA307C-896B-234E-8401-9A274A0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0404E"/>
    <w:rPr>
      <w:color w:val="0000FF" w:themeColor="hyperlink"/>
      <w:u w:val="single"/>
    </w:rPr>
  </w:style>
  <w:style w:type="character" w:styleId="UnresolvedMention">
    <w:name w:val="Unresolved Mention"/>
    <w:basedOn w:val="DefaultParagraphFont"/>
    <w:uiPriority w:val="99"/>
    <w:semiHidden/>
    <w:unhideWhenUsed/>
    <w:rsid w:val="0020404E"/>
    <w:rPr>
      <w:color w:val="605E5C"/>
      <w:shd w:val="clear" w:color="auto" w:fill="E1DFDD"/>
    </w:rPr>
  </w:style>
  <w:style w:type="paragraph" w:customStyle="1" w:styleId="ml-4">
    <w:name w:val="ml-4"/>
    <w:basedOn w:val="Normal"/>
    <w:rsid w:val="005D2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427">
      <w:bodyDiv w:val="1"/>
      <w:marLeft w:val="0"/>
      <w:marRight w:val="0"/>
      <w:marTop w:val="0"/>
      <w:marBottom w:val="0"/>
      <w:divBdr>
        <w:top w:val="none" w:sz="0" w:space="0" w:color="auto"/>
        <w:left w:val="none" w:sz="0" w:space="0" w:color="auto"/>
        <w:bottom w:val="none" w:sz="0" w:space="0" w:color="auto"/>
        <w:right w:val="none" w:sz="0" w:space="0" w:color="auto"/>
      </w:divBdr>
    </w:div>
    <w:div w:id="292441844">
      <w:bodyDiv w:val="1"/>
      <w:marLeft w:val="0"/>
      <w:marRight w:val="0"/>
      <w:marTop w:val="0"/>
      <w:marBottom w:val="0"/>
      <w:divBdr>
        <w:top w:val="none" w:sz="0" w:space="0" w:color="auto"/>
        <w:left w:val="none" w:sz="0" w:space="0" w:color="auto"/>
        <w:bottom w:val="none" w:sz="0" w:space="0" w:color="auto"/>
        <w:right w:val="none" w:sz="0" w:space="0" w:color="auto"/>
      </w:divBdr>
    </w:div>
    <w:div w:id="648245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the.org/general/custom.asp?page=conf_proposal_FA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the.org/general/custom.asp?page=conf_deadli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2025-11-02T01:32:00Z</dcterms:created>
  <dcterms:modified xsi:type="dcterms:W3CDTF">2025-11-02T01:47:00Z</dcterms:modified>
  <cp:category/>
</cp:coreProperties>
</file>